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97B8D" w14:textId="63A5A1F9" w:rsidR="00FC11A8" w:rsidRDefault="00FC11A8" w:rsidP="00E374D6">
      <w:pPr>
        <w:rPr>
          <w:b/>
          <w:bCs/>
          <w:lang w:val="en"/>
        </w:rPr>
      </w:pPr>
      <w:bookmarkStart w:id="0" w:name="_GoBack"/>
      <w:bookmarkEnd w:id="0"/>
      <w:r w:rsidRPr="00FC11A8">
        <w:rPr>
          <w:b/>
          <w:bCs/>
          <w:lang w:val="en"/>
        </w:rPr>
        <w:t>Possibility of Reopening Certain Cases on the Forfeiture of Danish citizenship</w:t>
      </w:r>
    </w:p>
    <w:p w14:paraId="6443B741" w14:textId="14DA24BD" w:rsidR="00FC11A8" w:rsidRDefault="00FC11A8" w:rsidP="00E374D6">
      <w:pPr>
        <w:rPr>
          <w:b/>
          <w:bCs/>
          <w:lang w:val="en"/>
        </w:rPr>
      </w:pPr>
    </w:p>
    <w:p w14:paraId="0FC01E43" w14:textId="0035D470" w:rsidR="00FC11A8" w:rsidRPr="00FC11A8" w:rsidRDefault="00FC11A8" w:rsidP="00E374D6">
      <w:pPr>
        <w:rPr>
          <w:lang w:val="en"/>
        </w:rPr>
      </w:pPr>
      <w:r>
        <w:rPr>
          <w:lang w:val="en"/>
        </w:rPr>
        <w:t>UNDERRUBRIK:</w:t>
      </w:r>
    </w:p>
    <w:p w14:paraId="7BDE66BA" w14:textId="30A98CD1" w:rsidR="00E374D6" w:rsidRPr="00FC11A8" w:rsidRDefault="00E374D6" w:rsidP="00E374D6">
      <w:pPr>
        <w:rPr>
          <w:lang w:val="en-US"/>
        </w:rPr>
      </w:pPr>
      <w:r w:rsidRPr="00FC11A8">
        <w:rPr>
          <w:lang w:val="en"/>
        </w:rPr>
        <w:t xml:space="preserve">Possibility of reopening certain cases on the forfeiture of Danish citizenship under the former Section 7 of the Danish </w:t>
      </w:r>
      <w:r w:rsidR="000608F6" w:rsidRPr="00FC11A8">
        <w:rPr>
          <w:lang w:val="en"/>
        </w:rPr>
        <w:t>Nationality</w:t>
      </w:r>
      <w:r w:rsidRPr="00FC11A8">
        <w:rPr>
          <w:lang w:val="en"/>
        </w:rPr>
        <w:t xml:space="preserve"> Act based on a judgment from the </w:t>
      </w:r>
      <w:r w:rsidR="00FC0118" w:rsidRPr="00FC11A8">
        <w:rPr>
          <w:lang w:val="en"/>
        </w:rPr>
        <w:t xml:space="preserve">Court of Justice of the </w:t>
      </w:r>
      <w:r w:rsidRPr="00FC11A8">
        <w:rPr>
          <w:lang w:val="en"/>
        </w:rPr>
        <w:t xml:space="preserve">European </w:t>
      </w:r>
      <w:r w:rsidR="00FC0118" w:rsidRPr="00FC11A8">
        <w:rPr>
          <w:lang w:val="en"/>
        </w:rPr>
        <w:t>Union (CJEU)</w:t>
      </w:r>
    </w:p>
    <w:p w14:paraId="71F46E11" w14:textId="2C2369E9" w:rsidR="00A942B6" w:rsidRDefault="00A942B6">
      <w:pPr>
        <w:rPr>
          <w:lang w:val="en-US"/>
        </w:rPr>
      </w:pPr>
    </w:p>
    <w:p w14:paraId="65A2E357" w14:textId="52D42C05" w:rsidR="00FC11A8" w:rsidRDefault="00FC11A8">
      <w:pPr>
        <w:rPr>
          <w:lang w:val="en-US"/>
        </w:rPr>
      </w:pPr>
      <w:r>
        <w:rPr>
          <w:lang w:val="en-US"/>
        </w:rPr>
        <w:t>TEKST:</w:t>
      </w:r>
    </w:p>
    <w:p w14:paraId="5D9D3050" w14:textId="727D0A75" w:rsidR="00E374D6" w:rsidRPr="00E374D6" w:rsidRDefault="00E374D6" w:rsidP="00E374D6">
      <w:pPr>
        <w:rPr>
          <w:lang w:val="en-US"/>
        </w:rPr>
      </w:pPr>
      <w:r w:rsidRPr="00E374D6">
        <w:rPr>
          <w:lang w:val="en"/>
        </w:rPr>
        <w:t xml:space="preserve">Based on a judgment </w:t>
      </w:r>
      <w:r w:rsidR="00FC0118">
        <w:rPr>
          <w:lang w:val="en"/>
        </w:rPr>
        <w:t>passed</w:t>
      </w:r>
      <w:r w:rsidRPr="00E374D6">
        <w:rPr>
          <w:lang w:val="en"/>
        </w:rPr>
        <w:t xml:space="preserve"> by the </w:t>
      </w:r>
      <w:r w:rsidR="008A7D82">
        <w:rPr>
          <w:lang w:val="en"/>
        </w:rPr>
        <w:t xml:space="preserve">Court of Justice of the </w:t>
      </w:r>
      <w:r>
        <w:rPr>
          <w:lang w:val="en"/>
        </w:rPr>
        <w:t xml:space="preserve">European </w:t>
      </w:r>
      <w:r w:rsidR="008A7D82">
        <w:rPr>
          <w:lang w:val="en"/>
        </w:rPr>
        <w:t xml:space="preserve">Union </w:t>
      </w:r>
      <w:r w:rsidRPr="00E374D6">
        <w:rPr>
          <w:lang w:val="en"/>
        </w:rPr>
        <w:t xml:space="preserve">on 25 April 2024 in </w:t>
      </w:r>
      <w:r w:rsidR="00E66B21">
        <w:rPr>
          <w:lang w:val="en"/>
        </w:rPr>
        <w:t xml:space="preserve">the </w:t>
      </w:r>
      <w:r w:rsidRPr="00E374D6">
        <w:rPr>
          <w:lang w:val="en"/>
        </w:rPr>
        <w:t xml:space="preserve">cases C-684/22 to C-686/22, the </w:t>
      </w:r>
      <w:r w:rsidR="00FC0118">
        <w:rPr>
          <w:lang w:val="en"/>
        </w:rPr>
        <w:t xml:space="preserve">Danish </w:t>
      </w:r>
      <w:r w:rsidRPr="00E374D6">
        <w:rPr>
          <w:lang w:val="en"/>
        </w:rPr>
        <w:t xml:space="preserve">Ministry of Immigration and Integration has assessed that the ministry, when assessing the forfeiture of Danish citizenship as a result of </w:t>
      </w:r>
      <w:r w:rsidR="00FC0118">
        <w:rPr>
          <w:lang w:val="en"/>
        </w:rPr>
        <w:t>being granted a</w:t>
      </w:r>
      <w:r w:rsidRPr="00E374D6">
        <w:rPr>
          <w:lang w:val="en"/>
        </w:rPr>
        <w:t xml:space="preserve"> foreign citizenship </w:t>
      </w:r>
      <w:r w:rsidR="00FC0118">
        <w:rPr>
          <w:lang w:val="en"/>
        </w:rPr>
        <w:t>under</w:t>
      </w:r>
      <w:r w:rsidRPr="00E374D6">
        <w:rPr>
          <w:lang w:val="en"/>
        </w:rPr>
        <w:t xml:space="preserve"> the previously applicable section 7 of the </w:t>
      </w:r>
      <w:r w:rsidRPr="000608F6">
        <w:rPr>
          <w:lang w:val="en"/>
        </w:rPr>
        <w:t>Danish</w:t>
      </w:r>
      <w:r w:rsidRPr="00E374D6">
        <w:rPr>
          <w:lang w:val="en"/>
        </w:rPr>
        <w:t xml:space="preserve"> </w:t>
      </w:r>
      <w:r w:rsidR="000608F6" w:rsidRPr="000608F6">
        <w:rPr>
          <w:lang w:val="en"/>
        </w:rPr>
        <w:t>Nationality</w:t>
      </w:r>
      <w:r w:rsidRPr="00E374D6">
        <w:rPr>
          <w:lang w:val="en"/>
        </w:rPr>
        <w:t xml:space="preserve"> Act</w:t>
      </w:r>
      <w:r w:rsidR="00FC0118">
        <w:rPr>
          <w:lang w:val="en"/>
        </w:rPr>
        <w:t xml:space="preserve">, must </w:t>
      </w:r>
      <w:r w:rsidRPr="00E374D6">
        <w:rPr>
          <w:lang w:val="en"/>
        </w:rPr>
        <w:t xml:space="preserve">include a number of additional </w:t>
      </w:r>
      <w:r w:rsidR="00FC0118">
        <w:rPr>
          <w:lang w:val="en"/>
        </w:rPr>
        <w:t xml:space="preserve">factors </w:t>
      </w:r>
      <w:r w:rsidRPr="00E374D6">
        <w:rPr>
          <w:lang w:val="en"/>
        </w:rPr>
        <w:t xml:space="preserve">to carry out an individual </w:t>
      </w:r>
      <w:r w:rsidR="00FC0118">
        <w:rPr>
          <w:lang w:val="en"/>
        </w:rPr>
        <w:t>assessment</w:t>
      </w:r>
      <w:r w:rsidRPr="00E374D6">
        <w:rPr>
          <w:lang w:val="en"/>
        </w:rPr>
        <w:t xml:space="preserve"> of the effects in relation to EU law of a forfeiture of Danish citizenship and thus of </w:t>
      </w:r>
      <w:r w:rsidR="00E66B21">
        <w:rPr>
          <w:lang w:val="en"/>
        </w:rPr>
        <w:t>EU citizenship</w:t>
      </w:r>
      <w:r>
        <w:rPr>
          <w:lang w:val="en"/>
        </w:rPr>
        <w:t>.</w:t>
      </w:r>
    </w:p>
    <w:p w14:paraId="1FB067DE" w14:textId="5EE860DF" w:rsidR="00E374D6" w:rsidRDefault="00E66B21">
      <w:pPr>
        <w:rPr>
          <w:lang w:val="en-US"/>
        </w:rPr>
      </w:pPr>
      <w:r>
        <w:rPr>
          <w:lang w:val="en-US"/>
        </w:rPr>
        <w:t>Such an</w:t>
      </w:r>
      <w:r w:rsidR="00E374D6" w:rsidRPr="00E374D6">
        <w:rPr>
          <w:lang w:val="en-US"/>
        </w:rPr>
        <w:t xml:space="preserve"> assessment has not previously been </w:t>
      </w:r>
      <w:r w:rsidR="00FC0118">
        <w:rPr>
          <w:lang w:val="en-US"/>
        </w:rPr>
        <w:t>made</w:t>
      </w:r>
      <w:r w:rsidR="00E374D6" w:rsidRPr="00E374D6">
        <w:rPr>
          <w:lang w:val="en-US"/>
        </w:rPr>
        <w:t xml:space="preserve"> in cases </w:t>
      </w:r>
      <w:r w:rsidR="00A850C6">
        <w:rPr>
          <w:lang w:val="en-US"/>
        </w:rPr>
        <w:t>in which</w:t>
      </w:r>
      <w:r w:rsidR="00E374D6" w:rsidRPr="00E374D6">
        <w:rPr>
          <w:lang w:val="en-US"/>
        </w:rPr>
        <w:t xml:space="preserve"> a forfeiture assessment has been </w:t>
      </w:r>
      <w:r w:rsidR="00E374D6">
        <w:rPr>
          <w:lang w:val="en-US"/>
        </w:rPr>
        <w:t>made</w:t>
      </w:r>
      <w:r w:rsidR="00E374D6" w:rsidRPr="00E374D6">
        <w:rPr>
          <w:lang w:val="en-US"/>
        </w:rPr>
        <w:t xml:space="preserve"> </w:t>
      </w:r>
      <w:r w:rsidR="00A850C6">
        <w:rPr>
          <w:lang w:val="en-US"/>
        </w:rPr>
        <w:t>pursuant to</w:t>
      </w:r>
      <w:r w:rsidR="00E374D6" w:rsidRPr="00E374D6">
        <w:rPr>
          <w:lang w:val="en-US"/>
        </w:rPr>
        <w:t xml:space="preserve"> the previously applicable section 7 of </w:t>
      </w:r>
      <w:r w:rsidR="00E374D6" w:rsidRPr="000608F6">
        <w:rPr>
          <w:lang w:val="en-US"/>
        </w:rPr>
        <w:t xml:space="preserve">the </w:t>
      </w:r>
      <w:r w:rsidR="000608F6" w:rsidRPr="000608F6">
        <w:rPr>
          <w:lang w:val="en-US"/>
        </w:rPr>
        <w:t xml:space="preserve">Danish </w:t>
      </w:r>
      <w:r w:rsidR="00E374D6" w:rsidRPr="000608F6">
        <w:rPr>
          <w:lang w:val="en-US"/>
        </w:rPr>
        <w:t>Nationality Act.</w:t>
      </w:r>
    </w:p>
    <w:p w14:paraId="0977388F" w14:textId="55920E85" w:rsidR="00E374D6" w:rsidRDefault="00E374D6" w:rsidP="00E374D6">
      <w:pPr>
        <w:rPr>
          <w:lang w:val="en"/>
        </w:rPr>
      </w:pPr>
      <w:r>
        <w:rPr>
          <w:lang w:val="en"/>
        </w:rPr>
        <w:t xml:space="preserve">In the future, </w:t>
      </w:r>
      <w:r w:rsidRPr="00E374D6">
        <w:rPr>
          <w:lang w:val="en"/>
        </w:rPr>
        <w:t xml:space="preserve">in all cases </w:t>
      </w:r>
      <w:r w:rsidR="00A850C6">
        <w:rPr>
          <w:lang w:val="en"/>
        </w:rPr>
        <w:t>when</w:t>
      </w:r>
      <w:r w:rsidRPr="00E374D6">
        <w:rPr>
          <w:lang w:val="en"/>
        </w:rPr>
        <w:t xml:space="preserve"> the forfeiture of Danish citizenship also entails </w:t>
      </w:r>
      <w:r w:rsidR="00A850C6">
        <w:rPr>
          <w:lang w:val="en"/>
        </w:rPr>
        <w:t xml:space="preserve">the </w:t>
      </w:r>
      <w:r w:rsidRPr="00E374D6">
        <w:rPr>
          <w:lang w:val="en"/>
        </w:rPr>
        <w:t>forfeiture of EU citizenship</w:t>
      </w:r>
      <w:r>
        <w:rPr>
          <w:lang w:val="en"/>
        </w:rPr>
        <w:t>, t</w:t>
      </w:r>
      <w:r w:rsidRPr="00E374D6">
        <w:rPr>
          <w:lang w:val="en"/>
        </w:rPr>
        <w:t xml:space="preserve">he </w:t>
      </w:r>
      <w:r w:rsidR="00E66B21">
        <w:rPr>
          <w:lang w:val="en"/>
        </w:rPr>
        <w:t xml:space="preserve">Danish </w:t>
      </w:r>
      <w:r w:rsidRPr="00E374D6">
        <w:rPr>
          <w:lang w:val="en"/>
        </w:rPr>
        <w:t xml:space="preserve">Ministry of Immigration and Integration will </w:t>
      </w:r>
      <w:r w:rsidR="00A850C6">
        <w:rPr>
          <w:lang w:val="en"/>
        </w:rPr>
        <w:t xml:space="preserve">thus </w:t>
      </w:r>
      <w:r>
        <w:rPr>
          <w:lang w:val="en"/>
        </w:rPr>
        <w:t xml:space="preserve">assess </w:t>
      </w:r>
      <w:r w:rsidRPr="00E374D6">
        <w:rPr>
          <w:lang w:val="en"/>
        </w:rPr>
        <w:t xml:space="preserve">whether the effects in relation to EU law of the forfeiture of </w:t>
      </w:r>
      <w:r w:rsidR="00E66B21">
        <w:rPr>
          <w:lang w:val="en"/>
        </w:rPr>
        <w:t>EU citizenship</w:t>
      </w:r>
      <w:r w:rsidRPr="00E374D6">
        <w:rPr>
          <w:lang w:val="en"/>
        </w:rPr>
        <w:t xml:space="preserve"> are proportional to the forfeiture.</w:t>
      </w:r>
    </w:p>
    <w:p w14:paraId="6E2B497D" w14:textId="3088EF00" w:rsidR="00E374D6" w:rsidRDefault="00E66B21" w:rsidP="00E374D6">
      <w:pPr>
        <w:rPr>
          <w:lang w:val="en-US"/>
        </w:rPr>
      </w:pPr>
      <w:r>
        <w:rPr>
          <w:lang w:val="en-US"/>
        </w:rPr>
        <w:t>T</w:t>
      </w:r>
      <w:r w:rsidR="00E374D6" w:rsidRPr="000608F6">
        <w:rPr>
          <w:lang w:val="en-US"/>
        </w:rPr>
        <w:t xml:space="preserve">he </w:t>
      </w:r>
      <w:r>
        <w:rPr>
          <w:lang w:val="en-US"/>
        </w:rPr>
        <w:t xml:space="preserve">Danish </w:t>
      </w:r>
      <w:r w:rsidR="00E374D6" w:rsidRPr="000608F6">
        <w:rPr>
          <w:lang w:val="en-US"/>
        </w:rPr>
        <w:t>Ministry of Immigration and Integration</w:t>
      </w:r>
      <w:r>
        <w:rPr>
          <w:lang w:val="en-US"/>
        </w:rPr>
        <w:t xml:space="preserve"> also</w:t>
      </w:r>
      <w:r w:rsidR="00E374D6" w:rsidRPr="000608F6">
        <w:rPr>
          <w:lang w:val="en-US"/>
        </w:rPr>
        <w:t xml:space="preserve"> assess</w:t>
      </w:r>
      <w:r>
        <w:rPr>
          <w:lang w:val="en-US"/>
        </w:rPr>
        <w:t>es</w:t>
      </w:r>
      <w:r w:rsidR="00E374D6" w:rsidRPr="00E374D6">
        <w:rPr>
          <w:lang w:val="en-US"/>
        </w:rPr>
        <w:t xml:space="preserve"> that there is a need to amend the </w:t>
      </w:r>
      <w:r w:rsidR="000608F6">
        <w:rPr>
          <w:lang w:val="en-US"/>
        </w:rPr>
        <w:t xml:space="preserve">Danish Nationality </w:t>
      </w:r>
      <w:r w:rsidR="00E374D6" w:rsidRPr="000608F6">
        <w:rPr>
          <w:lang w:val="en-US"/>
        </w:rPr>
        <w:t>Act</w:t>
      </w:r>
      <w:r w:rsidR="00E374D6" w:rsidRPr="00E374D6">
        <w:rPr>
          <w:lang w:val="en-US"/>
        </w:rPr>
        <w:t xml:space="preserve"> to ensure clarity about the citizens' legal position.</w:t>
      </w:r>
    </w:p>
    <w:p w14:paraId="678B9051" w14:textId="5EE8791A" w:rsidR="00E374D6" w:rsidRPr="005029BC" w:rsidRDefault="00E66B21" w:rsidP="00E374D6">
      <w:pPr>
        <w:rPr>
          <w:lang w:val="en-GB"/>
        </w:rPr>
      </w:pPr>
      <w:r>
        <w:rPr>
          <w:lang w:val="en-US"/>
        </w:rPr>
        <w:t>Please consult</w:t>
      </w:r>
      <w:r w:rsidR="00E374D6" w:rsidRPr="00E374D6">
        <w:rPr>
          <w:lang w:val="en-US"/>
        </w:rPr>
        <w:t xml:space="preserve"> the </w:t>
      </w:r>
      <w:r>
        <w:rPr>
          <w:lang w:val="en-US"/>
        </w:rPr>
        <w:t xml:space="preserve">Danish </w:t>
      </w:r>
      <w:r w:rsidR="00E374D6" w:rsidRPr="00E374D6">
        <w:rPr>
          <w:lang w:val="en-US"/>
        </w:rPr>
        <w:t>Minister for Immigration and Integration's briefing to the Danish Parliament</w:t>
      </w:r>
      <w:r w:rsidR="00E374D6">
        <w:rPr>
          <w:lang w:val="en-US"/>
        </w:rPr>
        <w:t xml:space="preserve">, </w:t>
      </w:r>
      <w:proofErr w:type="spellStart"/>
      <w:r w:rsidR="00E374D6">
        <w:rPr>
          <w:lang w:val="en-US"/>
        </w:rPr>
        <w:t>Folketinget</w:t>
      </w:r>
      <w:proofErr w:type="spellEnd"/>
      <w:proofErr w:type="gramStart"/>
      <w:r w:rsidR="00E374D6">
        <w:rPr>
          <w:lang w:val="en-US"/>
        </w:rPr>
        <w:t xml:space="preserve">, </w:t>
      </w:r>
      <w:r w:rsidR="00E374D6" w:rsidRPr="00E374D6">
        <w:rPr>
          <w:lang w:val="en-US"/>
        </w:rPr>
        <w:t xml:space="preserve"> on</w:t>
      </w:r>
      <w:proofErr w:type="gramEnd"/>
      <w:r w:rsidR="00E374D6" w:rsidRPr="00E374D6">
        <w:rPr>
          <w:lang w:val="en-US"/>
        </w:rPr>
        <w:t xml:space="preserve"> the judgment and its legal effects here </w:t>
      </w:r>
      <w:hyperlink r:id="rId4" w:history="1">
        <w:r w:rsidR="005029BC" w:rsidRPr="005029BC">
          <w:rPr>
            <w:rStyle w:val="Hyperlink"/>
            <w:lang w:val="en-GB"/>
          </w:rPr>
          <w:t xml:space="preserve">UUI </w:t>
        </w:r>
        <w:proofErr w:type="spellStart"/>
        <w:r w:rsidR="005029BC" w:rsidRPr="005029BC">
          <w:rPr>
            <w:rStyle w:val="Hyperlink"/>
            <w:lang w:val="en-GB"/>
          </w:rPr>
          <w:t>Almdel</w:t>
        </w:r>
        <w:proofErr w:type="spellEnd"/>
        <w:r w:rsidR="005029BC" w:rsidRPr="005029BC">
          <w:rPr>
            <w:rStyle w:val="Hyperlink"/>
            <w:lang w:val="en-GB"/>
          </w:rPr>
          <w:t xml:space="preserve"> </w:t>
        </w:r>
        <w:proofErr w:type="spellStart"/>
        <w:r w:rsidR="005029BC" w:rsidRPr="005029BC">
          <w:rPr>
            <w:rStyle w:val="Hyperlink"/>
            <w:lang w:val="en-GB"/>
          </w:rPr>
          <w:t>Bilag</w:t>
        </w:r>
        <w:proofErr w:type="spellEnd"/>
        <w:r w:rsidR="005029BC" w:rsidRPr="005029BC">
          <w:rPr>
            <w:rStyle w:val="Hyperlink"/>
            <w:lang w:val="en-GB"/>
          </w:rPr>
          <w:t xml:space="preserve"> 145 </w:t>
        </w:r>
        <w:proofErr w:type="spellStart"/>
        <w:r w:rsidR="005029BC" w:rsidRPr="005029BC">
          <w:rPr>
            <w:rStyle w:val="Hyperlink"/>
            <w:lang w:val="en-GB"/>
          </w:rPr>
          <w:t>Notat</w:t>
        </w:r>
        <w:proofErr w:type="spellEnd"/>
        <w:r w:rsidR="005029BC" w:rsidRPr="005029BC">
          <w:rPr>
            <w:rStyle w:val="Hyperlink"/>
            <w:lang w:val="en-GB"/>
          </w:rPr>
          <w:t xml:space="preserve"> om </w:t>
        </w:r>
        <w:proofErr w:type="spellStart"/>
        <w:r w:rsidR="005029BC" w:rsidRPr="005029BC">
          <w:rPr>
            <w:rStyle w:val="Hyperlink"/>
            <w:lang w:val="en-GB"/>
          </w:rPr>
          <w:t>opfølgning</w:t>
        </w:r>
        <w:proofErr w:type="spellEnd"/>
        <w:r w:rsidR="005029BC" w:rsidRPr="005029BC">
          <w:rPr>
            <w:rStyle w:val="Hyperlink"/>
            <w:lang w:val="en-GB"/>
          </w:rPr>
          <w:t xml:space="preserve"> på </w:t>
        </w:r>
        <w:proofErr w:type="spellStart"/>
        <w:r w:rsidR="005029BC" w:rsidRPr="005029BC">
          <w:rPr>
            <w:rStyle w:val="Hyperlink"/>
            <w:lang w:val="en-GB"/>
          </w:rPr>
          <w:t>EUDomstolens</w:t>
        </w:r>
        <w:proofErr w:type="spellEnd"/>
        <w:r w:rsidR="005029BC" w:rsidRPr="005029BC">
          <w:rPr>
            <w:rStyle w:val="Hyperlink"/>
            <w:lang w:val="en-GB"/>
          </w:rPr>
          <w:t xml:space="preserve"> </w:t>
        </w:r>
        <w:proofErr w:type="spellStart"/>
        <w:r w:rsidR="005029BC" w:rsidRPr="005029BC">
          <w:rPr>
            <w:rStyle w:val="Hyperlink"/>
            <w:lang w:val="en-GB"/>
          </w:rPr>
          <w:t>dompdf</w:t>
        </w:r>
        <w:proofErr w:type="spellEnd"/>
        <w:r w:rsidR="005029BC" w:rsidRPr="005029BC">
          <w:rPr>
            <w:rStyle w:val="Hyperlink"/>
            <w:lang w:val="en-GB"/>
          </w:rPr>
          <w:t xml:space="preserve"> (ft.dk)</w:t>
        </w:r>
      </w:hyperlink>
      <w:r w:rsidR="005029BC" w:rsidRPr="005029BC">
        <w:rPr>
          <w:lang w:val="en-GB"/>
        </w:rPr>
        <w:t>.</w:t>
      </w:r>
    </w:p>
    <w:p w14:paraId="63F97CD9" w14:textId="10AD347C" w:rsidR="00E374D6" w:rsidRPr="00FC0118" w:rsidRDefault="00E374D6" w:rsidP="00E374D6">
      <w:pPr>
        <w:rPr>
          <w:u w:val="single"/>
          <w:lang w:val="en-US"/>
        </w:rPr>
      </w:pPr>
      <w:r w:rsidRPr="00FC0118">
        <w:rPr>
          <w:u w:val="single"/>
          <w:lang w:val="en-US"/>
        </w:rPr>
        <w:t xml:space="preserve">Possibility of </w:t>
      </w:r>
      <w:r w:rsidR="00FC0118" w:rsidRPr="00FC0118">
        <w:rPr>
          <w:u w:val="single"/>
          <w:lang w:val="en-US"/>
        </w:rPr>
        <w:t>reopening a case</w:t>
      </w:r>
    </w:p>
    <w:p w14:paraId="3BC86728" w14:textId="27CD8FA7" w:rsidR="00E374D6" w:rsidRDefault="00E374D6" w:rsidP="00E374D6">
      <w:pPr>
        <w:rPr>
          <w:lang w:val="en-US"/>
        </w:rPr>
      </w:pPr>
      <w:r w:rsidRPr="00E374D6">
        <w:rPr>
          <w:lang w:val="en-US"/>
        </w:rPr>
        <w:t xml:space="preserve">The judgment has legal effects from the </w:t>
      </w:r>
      <w:r w:rsidR="00E66B21">
        <w:rPr>
          <w:lang w:val="en-US"/>
        </w:rPr>
        <w:t>commencement date</w:t>
      </w:r>
      <w:r w:rsidRPr="00E374D6">
        <w:rPr>
          <w:lang w:val="en-US"/>
        </w:rPr>
        <w:t xml:space="preserve"> of the interpreted rule, Article 20 of the TFEU, </w:t>
      </w:r>
      <w:r>
        <w:rPr>
          <w:lang w:val="en-US"/>
        </w:rPr>
        <w:t>effective</w:t>
      </w:r>
      <w:r w:rsidRPr="00E374D6">
        <w:rPr>
          <w:lang w:val="en-US"/>
        </w:rPr>
        <w:t xml:space="preserve"> on 1 November 1993.</w:t>
      </w:r>
    </w:p>
    <w:p w14:paraId="061616EF" w14:textId="2199B2C1" w:rsidR="00E374D6" w:rsidRPr="00E374D6" w:rsidRDefault="00E374D6" w:rsidP="00E374D6">
      <w:pPr>
        <w:rPr>
          <w:lang w:val="en-US"/>
        </w:rPr>
      </w:pPr>
      <w:r w:rsidRPr="00E374D6">
        <w:rPr>
          <w:lang w:val="en-US"/>
        </w:rPr>
        <w:t xml:space="preserve">Former Danish citizens who </w:t>
      </w:r>
      <w:r w:rsidR="00E66B21">
        <w:rPr>
          <w:lang w:val="en-US"/>
        </w:rPr>
        <w:t>were granted</w:t>
      </w:r>
      <w:r w:rsidRPr="00E374D6">
        <w:rPr>
          <w:lang w:val="en-US"/>
        </w:rPr>
        <w:t xml:space="preserve"> a foreign citizenship in the period between 1 November 1993 and before 1 September 2015, when section 7 of the </w:t>
      </w:r>
      <w:r w:rsidR="000608F6">
        <w:rPr>
          <w:lang w:val="en-US"/>
        </w:rPr>
        <w:t xml:space="preserve">Danish Nationality </w:t>
      </w:r>
      <w:r w:rsidRPr="000608F6">
        <w:rPr>
          <w:lang w:val="en-US"/>
        </w:rPr>
        <w:t>Act</w:t>
      </w:r>
      <w:r w:rsidRPr="00E374D6">
        <w:rPr>
          <w:lang w:val="en-US"/>
        </w:rPr>
        <w:t xml:space="preserve"> was repealed, and </w:t>
      </w:r>
      <w:r w:rsidR="00E66B21">
        <w:rPr>
          <w:lang w:val="en-US"/>
        </w:rPr>
        <w:t xml:space="preserve">who </w:t>
      </w:r>
      <w:r w:rsidRPr="00E374D6">
        <w:rPr>
          <w:lang w:val="en-US"/>
        </w:rPr>
        <w:t xml:space="preserve">thus lost their Danish citizenship, and who received a decision from the </w:t>
      </w:r>
      <w:r w:rsidR="00E66B21">
        <w:rPr>
          <w:lang w:val="en-US"/>
        </w:rPr>
        <w:t xml:space="preserve">Danish </w:t>
      </w:r>
      <w:r w:rsidRPr="00E374D6">
        <w:rPr>
          <w:lang w:val="en-US"/>
        </w:rPr>
        <w:t xml:space="preserve">Ministry of Immigration and Integration on forfeiture of citizenship, whereby they also lost their </w:t>
      </w:r>
      <w:r w:rsidR="00E66B21">
        <w:rPr>
          <w:lang w:val="en-US"/>
        </w:rPr>
        <w:t>EU citizenship</w:t>
      </w:r>
      <w:r w:rsidRPr="00E374D6">
        <w:rPr>
          <w:lang w:val="en-US"/>
        </w:rPr>
        <w:t xml:space="preserve">, </w:t>
      </w:r>
      <w:r w:rsidR="00E66B21">
        <w:rPr>
          <w:lang w:val="en-US"/>
        </w:rPr>
        <w:t>can</w:t>
      </w:r>
      <w:r w:rsidRPr="00E374D6">
        <w:rPr>
          <w:lang w:val="en-US"/>
        </w:rPr>
        <w:t xml:space="preserve"> request</w:t>
      </w:r>
      <w:r w:rsidR="00A850C6">
        <w:rPr>
          <w:lang w:val="en-US"/>
        </w:rPr>
        <w:t xml:space="preserve"> that </w:t>
      </w:r>
      <w:r w:rsidRPr="00E374D6">
        <w:rPr>
          <w:lang w:val="en-US"/>
        </w:rPr>
        <w:t xml:space="preserve">the ministry </w:t>
      </w:r>
      <w:r w:rsidR="00E66B21">
        <w:rPr>
          <w:lang w:val="en-US"/>
        </w:rPr>
        <w:t xml:space="preserve">should </w:t>
      </w:r>
      <w:r w:rsidRPr="00E374D6">
        <w:rPr>
          <w:lang w:val="en-US"/>
        </w:rPr>
        <w:t>reopen their case.</w:t>
      </w:r>
    </w:p>
    <w:p w14:paraId="37740BC3" w14:textId="3103B8A8" w:rsidR="00E374D6" w:rsidRPr="005029BC" w:rsidRDefault="000608F6">
      <w:pPr>
        <w:rPr>
          <w:lang w:val="en-GB"/>
        </w:rPr>
      </w:pPr>
      <w:r w:rsidRPr="000608F6">
        <w:rPr>
          <w:lang w:val="en-US"/>
        </w:rPr>
        <w:t>Read the judgment of the</w:t>
      </w:r>
      <w:r w:rsidR="00A850C6">
        <w:rPr>
          <w:lang w:val="en-US"/>
        </w:rPr>
        <w:t xml:space="preserve"> Court of Justice of the </w:t>
      </w:r>
      <w:r w:rsidRPr="000608F6">
        <w:rPr>
          <w:lang w:val="en-US"/>
        </w:rPr>
        <w:t xml:space="preserve">European </w:t>
      </w:r>
      <w:r w:rsidR="00A850C6">
        <w:rPr>
          <w:lang w:val="en-US"/>
        </w:rPr>
        <w:t xml:space="preserve">Union </w:t>
      </w:r>
      <w:r w:rsidRPr="000608F6">
        <w:rPr>
          <w:lang w:val="en-US"/>
        </w:rPr>
        <w:t xml:space="preserve">of 25 April 2024 in cases C-684/22 to C-686/22 </w:t>
      </w:r>
      <w:r w:rsidR="00591213">
        <w:fldChar w:fldCharType="begin"/>
      </w:r>
      <w:r w:rsidR="00591213" w:rsidRPr="00591213">
        <w:rPr>
          <w:lang w:val="en-GB"/>
        </w:rPr>
        <w:instrText xml:space="preserve"> HYPERLINK "https://uim.dk/media/12640/dom-c-68422-til-c-68622.pdf" </w:instrText>
      </w:r>
      <w:r w:rsidR="00591213">
        <w:fldChar w:fldCharType="separate"/>
      </w:r>
      <w:r w:rsidR="005029BC" w:rsidRPr="005029BC">
        <w:rPr>
          <w:rStyle w:val="Hyperlink"/>
          <w:lang w:val="en-GB"/>
        </w:rPr>
        <w:t xml:space="preserve">CURIA - </w:t>
      </w:r>
      <w:proofErr w:type="spellStart"/>
      <w:r w:rsidR="005029BC" w:rsidRPr="005029BC">
        <w:rPr>
          <w:rStyle w:val="Hyperlink"/>
          <w:lang w:val="en-GB"/>
        </w:rPr>
        <w:t>Dokumenter</w:t>
      </w:r>
      <w:proofErr w:type="spellEnd"/>
      <w:r w:rsidR="005029BC" w:rsidRPr="005029BC">
        <w:rPr>
          <w:rStyle w:val="Hyperlink"/>
          <w:lang w:val="en-GB"/>
        </w:rPr>
        <w:t xml:space="preserve"> (uim.dk)</w:t>
      </w:r>
      <w:r w:rsidR="00591213">
        <w:rPr>
          <w:rStyle w:val="Hyperlink"/>
          <w:lang w:val="en-GB"/>
        </w:rPr>
        <w:fldChar w:fldCharType="end"/>
      </w:r>
      <w:r w:rsidR="005029BC" w:rsidRPr="005029BC">
        <w:rPr>
          <w:lang w:val="en-GB"/>
        </w:rPr>
        <w:t>.</w:t>
      </w:r>
    </w:p>
    <w:sectPr w:rsidR="00E374D6" w:rsidRPr="005029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D6"/>
    <w:rsid w:val="000608F6"/>
    <w:rsid w:val="001A7A3C"/>
    <w:rsid w:val="005029BC"/>
    <w:rsid w:val="00591213"/>
    <w:rsid w:val="006D6431"/>
    <w:rsid w:val="008A7D82"/>
    <w:rsid w:val="009745A4"/>
    <w:rsid w:val="00A850C6"/>
    <w:rsid w:val="00A942B6"/>
    <w:rsid w:val="00E374D6"/>
    <w:rsid w:val="00E66B21"/>
    <w:rsid w:val="00EC518A"/>
    <w:rsid w:val="00FC0118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23C0"/>
  <w15:chartTrackingRefBased/>
  <w15:docId w15:val="{72B62FBE-B552-41AC-AD10-8768218C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2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t.dk/samling/20231/almdel/UUI/bilag/145/290099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Mousten</dc:creator>
  <cp:keywords/>
  <dc:description/>
  <cp:lastModifiedBy>Rita Khalil</cp:lastModifiedBy>
  <cp:revision>2</cp:revision>
  <cp:lastPrinted>2024-09-09T06:06:00Z</cp:lastPrinted>
  <dcterms:created xsi:type="dcterms:W3CDTF">2024-10-02T07:40:00Z</dcterms:created>
  <dcterms:modified xsi:type="dcterms:W3CDTF">2024-10-02T07:40:00Z</dcterms:modified>
</cp:coreProperties>
</file>