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8" w:rsidRPr="00126F59" w:rsidRDefault="00A000D8" w:rsidP="00646A2B">
      <w:pPr>
        <w:pStyle w:val="Heading1"/>
        <w:numPr>
          <w:ilvl w:val="0"/>
          <w:numId w:val="0"/>
        </w:numPr>
        <w:rPr>
          <w:rFonts w:eastAsia="SimSun"/>
          <w:lang w:val="en-GB" w:eastAsia="zh-CN"/>
        </w:rPr>
      </w:pPr>
      <w:bookmarkStart w:id="0" w:name="_Toc312089594"/>
      <w:r w:rsidRPr="00126F59">
        <w:rPr>
          <w:rFonts w:eastAsia="SimSun"/>
          <w:lang w:val="en-GB" w:eastAsia="zh-CN"/>
        </w:rPr>
        <w:t xml:space="preserve">Annex 1: List of Fees for Consular Services and Other Matters as of </w:t>
      </w:r>
      <w:bookmarkEnd w:id="0"/>
      <w:r w:rsidR="006B07D5">
        <w:rPr>
          <w:rFonts w:eastAsia="SimSun"/>
          <w:lang w:val="en-GB" w:eastAsia="zh-CN"/>
        </w:rPr>
        <w:t>1</w:t>
      </w:r>
      <w:r w:rsidR="00AF48A4">
        <w:rPr>
          <w:rFonts w:eastAsia="SimSun"/>
          <w:vertAlign w:val="superscript"/>
          <w:lang w:val="en-GB" w:eastAsia="zh-CN"/>
        </w:rPr>
        <w:t>th</w:t>
      </w:r>
      <w:r w:rsidR="00534749">
        <w:rPr>
          <w:rFonts w:eastAsia="SimSun"/>
          <w:lang w:val="en-GB" w:eastAsia="zh-CN"/>
        </w:rPr>
        <w:t xml:space="preserve"> of</w:t>
      </w:r>
      <w:r w:rsidR="00534749" w:rsidRPr="00126F59">
        <w:rPr>
          <w:rFonts w:eastAsia="SimSun"/>
          <w:lang w:val="en-GB" w:eastAsia="zh-CN"/>
        </w:rPr>
        <w:t xml:space="preserve"> </w:t>
      </w:r>
      <w:r w:rsidR="00534749">
        <w:rPr>
          <w:rFonts w:eastAsia="SimSun"/>
          <w:lang w:val="en-GB" w:eastAsia="zh-CN"/>
        </w:rPr>
        <w:t>January</w:t>
      </w:r>
      <w:r w:rsidR="00534749" w:rsidRPr="00126F59">
        <w:rPr>
          <w:rFonts w:eastAsia="SimSun"/>
          <w:lang w:val="en-GB" w:eastAsia="zh-CN"/>
        </w:rPr>
        <w:t xml:space="preserve"> </w:t>
      </w:r>
      <w:r w:rsidR="0013637F" w:rsidRPr="00126F59">
        <w:rPr>
          <w:rFonts w:eastAsia="SimSun"/>
          <w:lang w:val="en-GB" w:eastAsia="zh-CN"/>
        </w:rPr>
        <w:t>20</w:t>
      </w:r>
      <w:r w:rsidR="003F35A3">
        <w:rPr>
          <w:rFonts w:eastAsia="SimSun"/>
          <w:lang w:val="en-GB" w:eastAsia="zh-CN"/>
        </w:rPr>
        <w:t>2</w:t>
      </w:r>
      <w:r w:rsidR="00646A2B">
        <w:rPr>
          <w:rFonts w:eastAsia="SimSun"/>
          <w:lang w:val="en-GB" w:eastAsia="zh-CN"/>
        </w:rPr>
        <w:t>5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604"/>
        <w:gridCol w:w="1225"/>
        <w:gridCol w:w="1250"/>
        <w:gridCol w:w="850"/>
      </w:tblGrid>
      <w:tr w:rsidR="00A000D8" w:rsidRPr="00451A44" w:rsidTr="00FE2297">
        <w:trPr>
          <w:trHeight w:val="300"/>
        </w:trPr>
        <w:tc>
          <w:tcPr>
            <w:tcW w:w="747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5604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1250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</w:tr>
      <w:tr w:rsidR="00A000D8" w:rsidRPr="00126F59" w:rsidTr="00FE2297">
        <w:trPr>
          <w:trHeight w:val="236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Prod. No.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Description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A4718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Price (</w:t>
            </w:r>
            <w:r w:rsidR="00A4718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USD</w:t>
            </w: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Price (DKK)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Section</w:t>
            </w:r>
          </w:p>
        </w:tc>
      </w:tr>
      <w:tr w:rsidR="00A000D8" w:rsidRPr="00126F59" w:rsidTr="00FE2297">
        <w:trPr>
          <w:trHeight w:val="4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</w:tr>
      <w:tr w:rsidR="00A000D8" w:rsidRPr="00126F59" w:rsidTr="00F031A9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 </w:t>
            </w:r>
          </w:p>
        </w:tc>
      </w:tr>
      <w:tr w:rsidR="00A000D8" w:rsidRPr="00126F59" w:rsidTr="00F031A9">
        <w:trPr>
          <w:trHeight w:val="28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Consular Services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Passports, travel documents for refugees and aliens’ passports for persons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regardless of age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46" w:rsidRPr="00833B29" w:rsidRDefault="00833B29" w:rsidP="00242A84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/>
              </w:rPr>
            </w:pPr>
            <w:r w:rsidRPr="00833B29"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  <w:t>17</w:t>
            </w:r>
            <w:r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46" w:rsidRDefault="00465B46" w:rsidP="00646A2B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</w:t>
            </w:r>
            <w:r w:rsidR="00646A2B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B46" w:rsidRPr="00126F59" w:rsidRDefault="00465B46" w:rsidP="00465B46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       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</w:p>
        </w:tc>
      </w:tr>
      <w:tr w:rsidR="00465B46" w:rsidRPr="005852A3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02954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0295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5852A3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hAnsi="Tahoma" w:cs="Tahoma"/>
                <w:sz w:val="17"/>
                <w:szCs w:val="17"/>
                <w:lang w:val="en-GB"/>
              </w:rPr>
              <w:t xml:space="preserve">EU emergency passports, other provisional passports, laissez-passers, alterations to passports, etc.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33B29" w:rsidP="00242A8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9210C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</w:t>
            </w:r>
            <w:r w:rsidR="009210C2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5852A3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</w:t>
            </w:r>
          </w:p>
        </w:tc>
      </w:tr>
      <w:tr w:rsidR="00465B46" w:rsidRPr="00A64E0E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6" w:rsidRPr="00A64E0E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</w:pP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 xml:space="preserve">Increased fee regardless of age,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if</w:t>
            </w: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 xml:space="preserve"> a valid or expired passport cannot be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presented</w:t>
            </w: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, or where the passport is presented in damaged condition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465B46" w:rsidP="009210C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1.78</w:t>
            </w:r>
            <w:r w:rsidR="009210C2"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International driving licenses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5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111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Certificate on a lost driving license (temporary replacement driving license)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5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112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Visa (all types) </w:t>
            </w:r>
            <w:r w:rsidRPr="00126F59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val="en-GB" w:eastAsia="zh-CN"/>
              </w:rPr>
              <w:t>3)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€ 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210C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3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Visa for children from 6 to 11 years of age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2A3D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€ 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9210C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  <w:r w:rsidR="009210C2">
              <w:rPr>
                <w:rFonts w:ascii="Tahoma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Provisional passports or extension of passports outside the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opening</w:t>
            </w: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 hours of the Mission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9210C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2,6</w:t>
            </w:r>
            <w:r w:rsidR="009210C2">
              <w:rPr>
                <w:rFonts w:ascii="Tahoma" w:hAnsi="Tahoma" w:cs="Tahoma"/>
                <w:color w:val="000000"/>
                <w:sz w:val="17"/>
                <w:szCs w:val="17"/>
              </w:rPr>
              <w:t>75</w:t>
            </w:r>
            <w:r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Provisional passports or extension of passports on official closing days of the Mission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B46" w:rsidRDefault="00465B46" w:rsidP="005C06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3,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820</w:t>
            </w:r>
            <w:r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Re-entry permit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(issuance of sticker)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6028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46A2B"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Online € 220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5C06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  <w:r w:rsidR="006028AD"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4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Application for residence and/or work permits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E6E30" w:rsidP="0001625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AE6E30">
              <w:rPr>
                <w:rFonts w:ascii="Tahoma" w:hAnsi="Tahoma" w:cs="Tahoma"/>
                <w:color w:val="000000"/>
                <w:sz w:val="17"/>
                <w:szCs w:val="17"/>
              </w:rPr>
              <w:t>Online € 22</w:t>
            </w:r>
            <w:r w:rsidR="00016254"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5C06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  <w:r w:rsidR="006028AD"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4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Complaint regarding a visa or residence and/or work permit decision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016254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Online € </w:t>
            </w:r>
            <w:r w:rsidR="00371269">
              <w:rPr>
                <w:rFonts w:ascii="Tahoma" w:hAnsi="Tahoma" w:cs="Tahoma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5C06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4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Personal assistance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5C06A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C06AD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Minor translations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966A0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51A44" w:rsidP="00A673C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5 (1</w:t>
            </w:r>
            <w:r w:rsidR="00A673C9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A673C9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Insurance matters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673C9" w:rsidP="00B30A18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B30A18">
              <w:rPr>
                <w:rFonts w:ascii="Tahoma" w:hAnsi="Tahoma" w:cs="Tahoma"/>
                <w:color w:val="000000"/>
                <w:sz w:val="17"/>
                <w:szCs w:val="17"/>
              </w:rPr>
              <w:t>.145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Drafting of letters,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A673C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A673C9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A673C9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Service of documents,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5399E" w:rsidP="00A539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A5399E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Procurement of certificates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5399E" w:rsidP="00A539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A5399E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Ship documents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966A02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5399E" w:rsidP="00A539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A5399E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Assistance concerning lost property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75B13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510 per case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7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Authentication, attestation, certification of copies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75B13" w:rsidP="00875B13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40 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(1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276680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23</w:t>
            </w:r>
            <w:r w:rsidR="00276680"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(1</w:t>
            </w:r>
            <w:r w:rsidR="00B30A18">
              <w:rPr>
                <w:rFonts w:ascii="Tahoma" w:hAnsi="Tahoma" w:cs="Tahoma"/>
                <w:color w:val="000000"/>
                <w:sz w:val="17"/>
                <w:szCs w:val="17"/>
              </w:rPr>
              <w:t>.145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151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proofErr w:type="spellStart"/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>NemID</w:t>
            </w:r>
            <w:proofErr w:type="spellEnd"/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>, birth and baptism certificates,  PIN-code letters,  credit cards,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hand-out of passport on a different location than the application</w:t>
            </w: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75B13" w:rsidP="00875B13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E20926" w:rsidP="00B30A18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285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(1</w:t>
            </w:r>
            <w:r w:rsidR="00B30A18"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B30A18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2)+4)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lastRenderedPageBreak/>
              <w:t>152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VAT refund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126E07" w:rsidP="00126E07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465B46" w:rsidP="003A576A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 w:rsidR="003A576A">
              <w:rPr>
                <w:rFonts w:ascii="Tahoma" w:hAnsi="Tahoma" w:cs="Tahoma"/>
                <w:color w:val="000000"/>
                <w:sz w:val="17"/>
                <w:szCs w:val="17"/>
              </w:rPr>
              <w:t>30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 w:rsidR="003A576A" w:rsidRPr="003A576A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2)+5)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153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Issue of a laissez-passer for a corpse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B393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0 (152)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3A576A" w:rsidP="00850E7F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230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 w:rsidRPr="003A576A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465B46" w:rsidRPr="00126F59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Extraordinary assistance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AB3936" w:rsidP="00465B4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46" w:rsidRDefault="00850E7F" w:rsidP="00E734A8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850E7F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465B46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465B46" w:rsidRPr="001D5C10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6" w:rsidRPr="00126F59" w:rsidRDefault="00465B46" w:rsidP="00465B46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Forwarding applications for Certificate of nationality, retention, and re-acquisition of nationality as well as receiving returned original documents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AB3936" w:rsidP="00AB393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  <w:r w:rsidR="00465B46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46" w:rsidRDefault="00465B46" w:rsidP="00850E7F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285 (</w:t>
            </w:r>
            <w:r w:rsidR="00E734A8">
              <w:rPr>
                <w:rFonts w:ascii="Tahoma" w:hAnsi="Tahoma" w:cs="Tahoma"/>
                <w:color w:val="000000"/>
                <w:sz w:val="17"/>
                <w:szCs w:val="17"/>
              </w:rPr>
              <w:t>1.1</w:t>
            </w:r>
            <w:r w:rsidR="00850E7F" w:rsidRPr="00850E7F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6" w:rsidRPr="00126F59" w:rsidRDefault="00465B46" w:rsidP="00465B4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8</w:t>
            </w:r>
          </w:p>
        </w:tc>
      </w:tr>
      <w:tr w:rsidR="00A000D8" w:rsidRPr="00126F59" w:rsidTr="000B636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8" w:rsidRPr="00126F59" w:rsidRDefault="00A000D8" w:rsidP="009F125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Other Matters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Transfer of social and public benefits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14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Other money transfers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2D7" w:rsidP="00BC32D7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C32D7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0B6364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14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Information, non-commercial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2D7" w:rsidP="00BC32D7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C32D7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0B6364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15</w:t>
            </w:r>
          </w:p>
        </w:tc>
      </w:tr>
      <w:tr w:rsidR="000B6364" w:rsidRPr="005852A3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02954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0295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5852A3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Organisation of visits, non-commercial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6251C6" w:rsidP="006251C6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251C6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0B6364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5852A3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16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The Mission’s direct expenses in relation to a given case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Variable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Variable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20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Reminders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24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Holding of an exam/test at the Mission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6251C6" w:rsidP="0001404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251C6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Pr="006251C6">
              <w:rPr>
                <w:rFonts w:ascii="Tahoma" w:hAnsi="Tahoma" w:cs="Tahoma"/>
                <w:color w:val="000000"/>
                <w:sz w:val="17"/>
                <w:szCs w:val="17"/>
                <w:vertAlign w:val="superscript"/>
              </w:rPr>
              <w:t>1</w:t>
            </w:r>
            <w:r w:rsidR="000B6364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17</w:t>
            </w:r>
          </w:p>
        </w:tc>
      </w:tr>
      <w:tr w:rsidR="000B6364" w:rsidRPr="00126F59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Rent of the Mission’s video-conference equipment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BC3BEB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Default="006251C6" w:rsidP="0001404D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251C6"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 w:rsidR="000B6364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18</w:t>
            </w:r>
          </w:p>
        </w:tc>
      </w:tr>
      <w:tr w:rsidR="00A000D8" w:rsidRPr="00126F59" w:rsidTr="00FE2297">
        <w:trPr>
          <w:trHeight w:val="300"/>
        </w:trPr>
        <w:tc>
          <w:tcPr>
            <w:tcW w:w="747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5604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1225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1250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850" w:type="dxa"/>
            <w:vAlign w:val="bottom"/>
            <w:hideMark/>
          </w:tcPr>
          <w:p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</w:tr>
      <w:tr w:rsidR="00A000D8" w:rsidRPr="00451A44" w:rsidTr="00F031A9">
        <w:trPr>
          <w:trHeight w:val="270"/>
        </w:trPr>
        <w:tc>
          <w:tcPr>
            <w:tcW w:w="0" w:type="auto"/>
            <w:gridSpan w:val="5"/>
            <w:vAlign w:val="bottom"/>
            <w:hideMark/>
          </w:tcPr>
          <w:p w:rsidR="00A000D8" w:rsidRPr="000F067F" w:rsidRDefault="00A000D8" w:rsidP="00D56A76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1)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Hourly rate, price per hour or part thereof. Payment </w:t>
            </w:r>
            <w:proofErr w:type="gramStart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at least one hour, and each hour commenced shall be charged as a full hour.</w:t>
            </w:r>
          </w:p>
        </w:tc>
      </w:tr>
      <w:tr w:rsidR="00A000D8" w:rsidRPr="00451A44" w:rsidTr="00F031A9">
        <w:trPr>
          <w:trHeight w:val="31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A000D8" w:rsidP="001561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2)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If case processing is required, an hourly rate or part thereof </w:t>
            </w:r>
            <w:proofErr w:type="gramStart"/>
            <w:r w:rsidR="0015617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</w:t>
            </w:r>
            <w:r w:rsidR="00156176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</w:p>
        </w:tc>
      </w:tr>
      <w:tr w:rsidR="00A000D8" w:rsidRPr="00451A44" w:rsidTr="00F031A9">
        <w:trPr>
          <w:trHeight w:val="570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A000D8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3)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NB: A fee of EUR 35 (DKK 260) </w:t>
            </w:r>
            <w:proofErr w:type="gramStart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countries with which the European Commission has concluded or is negotiating a visa facilitation agreement. </w:t>
            </w:r>
          </w:p>
        </w:tc>
      </w:tr>
      <w:tr w:rsidR="00A000D8" w:rsidRPr="00451A44" w:rsidTr="00F031A9">
        <w:trPr>
          <w:trHeight w:val="510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4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documents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together to the citizen, a total fee of DKK 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28</w:t>
            </w:r>
            <w:r w:rsidR="000B636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charged.</w:t>
            </w:r>
          </w:p>
        </w:tc>
      </w:tr>
      <w:tr w:rsidR="00A000D8" w:rsidRPr="00451A44" w:rsidTr="00F031A9">
        <w:trPr>
          <w:trHeight w:val="52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01404D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 xml:space="preserve">) 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Provided the request for VAT refund comprises several separate purchases, a fee of DKK 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  <w:r w:rsidR="0001404D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30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per statement.</w:t>
            </w:r>
          </w:p>
        </w:tc>
      </w:tr>
      <w:tr w:rsidR="00A000D8" w:rsidRPr="00451A44" w:rsidTr="00F031A9">
        <w:trPr>
          <w:trHeight w:val="52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8377CA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provisional passports or extension</w:t>
            </w:r>
            <w:r w:rsidR="005A484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of passports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at the same time, a fee of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  <w:r w:rsidR="008377CA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6</w:t>
            </w:r>
            <w:r w:rsidR="0001404D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75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 for the first passport and DKK </w:t>
            </w:r>
            <w:r w:rsidR="0001404D" w:rsidRPr="0001404D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  <w:r w:rsidR="008377CA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  <w:r w:rsidR="0001404D" w:rsidRPr="0001404D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145</w:t>
            </w:r>
            <w:r w:rsidR="0001404D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 xml:space="preserve"> </w:t>
            </w:r>
            <w:r w:rsidR="0001404D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or DKK 1</w:t>
            </w:r>
            <w:r w:rsidR="008377CA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  <w:r w:rsidR="0001404D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786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subsequent passports.</w:t>
            </w:r>
          </w:p>
        </w:tc>
      </w:tr>
      <w:tr w:rsidR="00A000D8" w:rsidRPr="00451A44" w:rsidTr="00F031A9">
        <w:trPr>
          <w:trHeight w:val="495"/>
        </w:trPr>
        <w:tc>
          <w:tcPr>
            <w:tcW w:w="0" w:type="auto"/>
            <w:gridSpan w:val="5"/>
            <w:vAlign w:val="bottom"/>
            <w:hideMark/>
          </w:tcPr>
          <w:p w:rsidR="00A000D8" w:rsidRPr="00126F59" w:rsidRDefault="00D84DFF" w:rsidP="00E765D7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7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provisional passports or extension</w:t>
            </w:r>
            <w:r w:rsidR="005A484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of passports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at the same time, a fee of DKK </w:t>
            </w:r>
            <w:r w:rsidR="00657CAF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</w:t>
            </w:r>
            <w:r w:rsidR="00E765D7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  <w:bookmarkStart w:id="1" w:name="_GoBack"/>
            <w:bookmarkEnd w:id="1"/>
            <w:r w:rsidR="00C2246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820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 for the first passport and DKK </w:t>
            </w:r>
            <w:r w:rsidR="00C22466" w:rsidRPr="00C2246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1.145</w:t>
            </w:r>
            <w:r w:rsidR="00C22466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 xml:space="preserve"> </w:t>
            </w:r>
            <w:r w:rsidR="00C2246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or DKK 1</w:t>
            </w:r>
            <w:r w:rsidR="008377CA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  <w:r w:rsidR="00C2246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786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subsequent passports.</w:t>
            </w:r>
          </w:p>
        </w:tc>
      </w:tr>
    </w:tbl>
    <w:p w:rsidR="006436FA" w:rsidRPr="000D2E8E" w:rsidRDefault="006436FA" w:rsidP="000D2E8E">
      <w:pPr>
        <w:pStyle w:val="ListParagraph"/>
        <w:numPr>
          <w:ilvl w:val="0"/>
          <w:numId w:val="3"/>
        </w:numPr>
        <w:spacing w:after="223" w:line="249" w:lineRule="auto"/>
        <w:rPr>
          <w:rFonts w:ascii="Calibri" w:hAnsi="Calibri" w:cs="Calibri"/>
          <w:color w:val="000000"/>
          <w:sz w:val="18"/>
          <w:lang w:val="en-GB" w:eastAsia="en-GB"/>
        </w:rPr>
      </w:pPr>
      <w:r w:rsidRPr="000D2E8E">
        <w:rPr>
          <w:rFonts w:ascii="Calibri" w:hAnsi="Calibri" w:cs="Calibri"/>
          <w:color w:val="000000"/>
          <w:sz w:val="18"/>
          <w:lang w:val="en-GB" w:eastAsia="en-GB"/>
        </w:rPr>
        <w:t>The fee may increase to 135 or 180 if an i</w:t>
      </w:r>
      <w:r w:rsidR="00E9098C" w:rsidRPr="000D2E8E">
        <w:rPr>
          <w:rFonts w:ascii="Calibri" w:hAnsi="Calibri" w:cs="Calibri"/>
          <w:color w:val="000000"/>
          <w:sz w:val="18"/>
          <w:lang w:val="en-GB" w:eastAsia="en-GB"/>
        </w:rPr>
        <w:t>mplementation</w:t>
      </w:r>
      <w:r w:rsidRPr="000D2E8E">
        <w:rPr>
          <w:rFonts w:ascii="Calibri" w:hAnsi="Calibri" w:cs="Calibri"/>
          <w:color w:val="000000"/>
          <w:sz w:val="18"/>
          <w:lang w:val="en-GB" w:eastAsia="en-GB"/>
        </w:rPr>
        <w:t xml:space="preserve"> decision </w:t>
      </w:r>
      <w:proofErr w:type="gramStart"/>
      <w:r w:rsidRPr="000D2E8E">
        <w:rPr>
          <w:rFonts w:ascii="Calibri" w:hAnsi="Calibri" w:cs="Calibri"/>
          <w:color w:val="000000"/>
          <w:sz w:val="18"/>
          <w:lang w:val="en-GB" w:eastAsia="en-GB"/>
        </w:rPr>
        <w:t>has been adopted</w:t>
      </w:r>
      <w:proofErr w:type="gramEnd"/>
      <w:r w:rsidRPr="000D2E8E">
        <w:rPr>
          <w:rFonts w:ascii="Calibri" w:hAnsi="Calibri" w:cs="Calibri"/>
          <w:color w:val="000000"/>
          <w:sz w:val="18"/>
          <w:lang w:val="en-GB" w:eastAsia="en-GB"/>
        </w:rPr>
        <w:t xml:space="preserve"> in the EU in ac</w:t>
      </w:r>
      <w:r w:rsidR="0008603A" w:rsidRPr="000D2E8E">
        <w:rPr>
          <w:rFonts w:ascii="Calibri" w:hAnsi="Calibri" w:cs="Calibri"/>
          <w:color w:val="000000"/>
          <w:sz w:val="18"/>
          <w:lang w:val="en-GB" w:eastAsia="en-GB"/>
        </w:rPr>
        <w:t>cordance with the Visa Code Article</w:t>
      </w:r>
      <w:r w:rsidRPr="000D2E8E">
        <w:rPr>
          <w:rFonts w:ascii="Calibri" w:hAnsi="Calibri" w:cs="Calibri"/>
          <w:color w:val="000000"/>
          <w:sz w:val="18"/>
          <w:lang w:val="en-GB" w:eastAsia="en-GB"/>
        </w:rPr>
        <w:t xml:space="preserve"> 25a. Does not apply to children up to and including eleven years of age.</w:t>
      </w:r>
    </w:p>
    <w:p w:rsidR="007D2987" w:rsidRPr="006436FA" w:rsidRDefault="007D2987">
      <w:pPr>
        <w:rPr>
          <w:lang w:val="en-GB"/>
        </w:rPr>
      </w:pPr>
    </w:p>
    <w:sectPr w:rsidR="007D2987" w:rsidRPr="006436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DD7"/>
    <w:multiLevelType w:val="hybridMultilevel"/>
    <w:tmpl w:val="EC8E9B6A"/>
    <w:lvl w:ilvl="0" w:tplc="BE7072D4">
      <w:start w:val="6"/>
      <w:numFmt w:val="decimal"/>
      <w:lvlText w:val="%1)"/>
      <w:lvlJc w:val="left"/>
      <w:pPr>
        <w:ind w:left="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F4A14E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3FE707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360278C0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F5F6954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74044C4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E34937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591E6E9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316D67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CDA0E01"/>
    <w:multiLevelType w:val="multilevel"/>
    <w:tmpl w:val="6DFE4CE4"/>
    <w:lvl w:ilvl="0">
      <w:start w:val="1"/>
      <w:numFmt w:val="decimal"/>
      <w:pStyle w:val="Heading1"/>
      <w:lvlText w:val="%1."/>
      <w:lvlJc w:val="left"/>
      <w:pPr>
        <w:ind w:left="397" w:hanging="397"/>
      </w:pPr>
    </w:lvl>
    <w:lvl w:ilvl="1">
      <w:start w:val="1"/>
      <w:numFmt w:val="decimal"/>
      <w:pStyle w:val="Heading2"/>
      <w:lvlText w:val="%1.%2."/>
      <w:lvlJc w:val="left"/>
      <w:pPr>
        <w:ind w:left="794" w:hanging="794"/>
      </w:pPr>
    </w:lvl>
    <w:lvl w:ilvl="2">
      <w:start w:val="1"/>
      <w:numFmt w:val="decimal"/>
      <w:pStyle w:val="Heading3"/>
      <w:lvlText w:val="%1.%2.%3."/>
      <w:lvlJc w:val="left"/>
      <w:pPr>
        <w:ind w:left="1191" w:hanging="1191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A613E0"/>
    <w:multiLevelType w:val="hybridMultilevel"/>
    <w:tmpl w:val="007614A6"/>
    <w:lvl w:ilvl="0" w:tplc="8116AB4A">
      <w:start w:val="8"/>
      <w:numFmt w:val="decimal"/>
      <w:lvlText w:val="%1)"/>
      <w:lvlJc w:val="left"/>
      <w:pPr>
        <w:ind w:left="407" w:hanging="360"/>
      </w:pPr>
      <w:rPr>
        <w:rFonts w:ascii="Tahoma" w:hAnsi="Tahoma" w:cs="Tahoma" w:hint="default"/>
        <w:sz w:val="18"/>
        <w:szCs w:val="18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127" w:hanging="360"/>
      </w:pPr>
    </w:lvl>
    <w:lvl w:ilvl="2" w:tplc="0809001B" w:tentative="1">
      <w:start w:val="1"/>
      <w:numFmt w:val="lowerRoman"/>
      <w:lvlText w:val="%3."/>
      <w:lvlJc w:val="right"/>
      <w:pPr>
        <w:ind w:left="1847" w:hanging="180"/>
      </w:pPr>
    </w:lvl>
    <w:lvl w:ilvl="3" w:tplc="0809000F" w:tentative="1">
      <w:start w:val="1"/>
      <w:numFmt w:val="decimal"/>
      <w:lvlText w:val="%4."/>
      <w:lvlJc w:val="left"/>
      <w:pPr>
        <w:ind w:left="2567" w:hanging="360"/>
      </w:pPr>
    </w:lvl>
    <w:lvl w:ilvl="4" w:tplc="08090019" w:tentative="1">
      <w:start w:val="1"/>
      <w:numFmt w:val="lowerLetter"/>
      <w:lvlText w:val="%5."/>
      <w:lvlJc w:val="left"/>
      <w:pPr>
        <w:ind w:left="3287" w:hanging="360"/>
      </w:pPr>
    </w:lvl>
    <w:lvl w:ilvl="5" w:tplc="0809001B" w:tentative="1">
      <w:start w:val="1"/>
      <w:numFmt w:val="lowerRoman"/>
      <w:lvlText w:val="%6."/>
      <w:lvlJc w:val="right"/>
      <w:pPr>
        <w:ind w:left="4007" w:hanging="180"/>
      </w:pPr>
    </w:lvl>
    <w:lvl w:ilvl="6" w:tplc="0809000F" w:tentative="1">
      <w:start w:val="1"/>
      <w:numFmt w:val="decimal"/>
      <w:lvlText w:val="%7."/>
      <w:lvlJc w:val="left"/>
      <w:pPr>
        <w:ind w:left="4727" w:hanging="360"/>
      </w:pPr>
    </w:lvl>
    <w:lvl w:ilvl="7" w:tplc="08090019" w:tentative="1">
      <w:start w:val="1"/>
      <w:numFmt w:val="lowerLetter"/>
      <w:lvlText w:val="%8."/>
      <w:lvlJc w:val="left"/>
      <w:pPr>
        <w:ind w:left="5447" w:hanging="360"/>
      </w:pPr>
    </w:lvl>
    <w:lvl w:ilvl="8" w:tplc="08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D8"/>
    <w:rsid w:val="0001404D"/>
    <w:rsid w:val="00016254"/>
    <w:rsid w:val="00017C5A"/>
    <w:rsid w:val="000331C6"/>
    <w:rsid w:val="000642C7"/>
    <w:rsid w:val="0008603A"/>
    <w:rsid w:val="000A1F00"/>
    <w:rsid w:val="000B6364"/>
    <w:rsid w:val="000D2E8E"/>
    <w:rsid w:val="000F1B47"/>
    <w:rsid w:val="00102954"/>
    <w:rsid w:val="00126E07"/>
    <w:rsid w:val="0013637F"/>
    <w:rsid w:val="00156176"/>
    <w:rsid w:val="001854BF"/>
    <w:rsid w:val="001B6911"/>
    <w:rsid w:val="002165CD"/>
    <w:rsid w:val="0022563F"/>
    <w:rsid w:val="00233486"/>
    <w:rsid w:val="002351C7"/>
    <w:rsid w:val="00242A84"/>
    <w:rsid w:val="00276680"/>
    <w:rsid w:val="0028542F"/>
    <w:rsid w:val="002A3D54"/>
    <w:rsid w:val="00371269"/>
    <w:rsid w:val="00397AA1"/>
    <w:rsid w:val="003A576A"/>
    <w:rsid w:val="003B07EA"/>
    <w:rsid w:val="003C38E5"/>
    <w:rsid w:val="003F35A3"/>
    <w:rsid w:val="004169BD"/>
    <w:rsid w:val="004279E6"/>
    <w:rsid w:val="00437F38"/>
    <w:rsid w:val="00451A44"/>
    <w:rsid w:val="00465B46"/>
    <w:rsid w:val="00533517"/>
    <w:rsid w:val="00534749"/>
    <w:rsid w:val="005367B0"/>
    <w:rsid w:val="005827B0"/>
    <w:rsid w:val="005852A3"/>
    <w:rsid w:val="005A4842"/>
    <w:rsid w:val="005C06AD"/>
    <w:rsid w:val="005D0E7F"/>
    <w:rsid w:val="006028AD"/>
    <w:rsid w:val="00603082"/>
    <w:rsid w:val="006251C6"/>
    <w:rsid w:val="006436FA"/>
    <w:rsid w:val="00646A2B"/>
    <w:rsid w:val="00646B06"/>
    <w:rsid w:val="00657CAF"/>
    <w:rsid w:val="0067683F"/>
    <w:rsid w:val="006B07D5"/>
    <w:rsid w:val="006C2654"/>
    <w:rsid w:val="006D312C"/>
    <w:rsid w:val="0076464F"/>
    <w:rsid w:val="007A3F67"/>
    <w:rsid w:val="007C678C"/>
    <w:rsid w:val="007D2987"/>
    <w:rsid w:val="00833B29"/>
    <w:rsid w:val="008377CA"/>
    <w:rsid w:val="00850E7F"/>
    <w:rsid w:val="00867106"/>
    <w:rsid w:val="00875B13"/>
    <w:rsid w:val="008F7D5C"/>
    <w:rsid w:val="009210C2"/>
    <w:rsid w:val="00966A02"/>
    <w:rsid w:val="00994703"/>
    <w:rsid w:val="009F1252"/>
    <w:rsid w:val="009F16DC"/>
    <w:rsid w:val="00A000D8"/>
    <w:rsid w:val="00A4718D"/>
    <w:rsid w:val="00A5399E"/>
    <w:rsid w:val="00A64E0E"/>
    <w:rsid w:val="00A673C9"/>
    <w:rsid w:val="00AB3936"/>
    <w:rsid w:val="00AE2FF0"/>
    <w:rsid w:val="00AE6E30"/>
    <w:rsid w:val="00AF48A4"/>
    <w:rsid w:val="00B2462C"/>
    <w:rsid w:val="00B30A18"/>
    <w:rsid w:val="00BB0924"/>
    <w:rsid w:val="00BC32D7"/>
    <w:rsid w:val="00BC3BEB"/>
    <w:rsid w:val="00C22466"/>
    <w:rsid w:val="00C254F2"/>
    <w:rsid w:val="00C54D83"/>
    <w:rsid w:val="00CF4683"/>
    <w:rsid w:val="00D47DCE"/>
    <w:rsid w:val="00D84DFF"/>
    <w:rsid w:val="00E14D83"/>
    <w:rsid w:val="00E20926"/>
    <w:rsid w:val="00E734A8"/>
    <w:rsid w:val="00E765D7"/>
    <w:rsid w:val="00E9098C"/>
    <w:rsid w:val="00ED3C57"/>
    <w:rsid w:val="00F031A9"/>
    <w:rsid w:val="00F254CC"/>
    <w:rsid w:val="00FD0BCD"/>
    <w:rsid w:val="00FD3726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65C0"/>
  <w15:chartTrackingRefBased/>
  <w15:docId w15:val="{8F2139DA-92ED-4086-B06C-61E3050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D8"/>
    <w:rPr>
      <w:rFonts w:eastAsia="Calibri" w:cs="Times New Roman"/>
      <w:szCs w:val="22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0D8"/>
    <w:pPr>
      <w:keepNext/>
      <w:numPr>
        <w:numId w:val="1"/>
      </w:numPr>
      <w:spacing w:before="240" w:after="60" w:line="240" w:lineRule="auto"/>
      <w:jc w:val="both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00D8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0D8"/>
    <w:pPr>
      <w:keepNext/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0D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62C"/>
    <w:pPr>
      <w:spacing w:after="0" w:line="240" w:lineRule="auto"/>
    </w:pPr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A000D8"/>
    <w:rPr>
      <w:rFonts w:eastAsia="Times New Roman" w:cs="Times New Roman"/>
      <w:b/>
      <w:bCs/>
      <w:kern w:val="32"/>
      <w:sz w:val="32"/>
      <w:szCs w:val="32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0D8"/>
    <w:rPr>
      <w:rFonts w:eastAsia="Times New Roman" w:cs="Times New Roman"/>
      <w:b/>
      <w:bCs/>
      <w:i/>
      <w:iCs/>
      <w:sz w:val="28"/>
      <w:szCs w:val="28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0D8"/>
    <w:rPr>
      <w:rFonts w:eastAsia="Times New Roman" w:cs="Times New Roman"/>
      <w:b/>
      <w:bCs/>
      <w:sz w:val="26"/>
      <w:szCs w:val="26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0D8"/>
    <w:rPr>
      <w:rFonts w:ascii="Calibri" w:eastAsia="Times New Roman" w:hAnsi="Calibri" w:cs="Times New Roman"/>
      <w:b/>
      <w:bCs/>
      <w:sz w:val="28"/>
      <w:szCs w:val="28"/>
      <w:lang w:eastAsia="da-DK"/>
    </w:rPr>
  </w:style>
  <w:style w:type="paragraph" w:customStyle="1" w:styleId="Default">
    <w:name w:val="Default"/>
    <w:rsid w:val="00A00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5A"/>
    <w:rPr>
      <w:rFonts w:ascii="Segoe UI" w:eastAsia="Calibri" w:hAnsi="Segoe UI" w:cs="Segoe UI"/>
      <w:sz w:val="18"/>
      <w:szCs w:val="18"/>
      <w:lang w:eastAsia="da-DK"/>
    </w:rPr>
  </w:style>
  <w:style w:type="paragraph" w:styleId="ListParagraph">
    <w:name w:val="List Paragraph"/>
    <w:basedOn w:val="Normal"/>
    <w:uiPriority w:val="34"/>
    <w:qFormat/>
    <w:rsid w:val="0064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Rahbek Jensen</dc:creator>
  <cp:keywords/>
  <dc:description/>
  <cp:lastModifiedBy>Rita Khalil</cp:lastModifiedBy>
  <cp:revision>18</cp:revision>
  <cp:lastPrinted>2025-01-14T06:19:00Z</cp:lastPrinted>
  <dcterms:created xsi:type="dcterms:W3CDTF">2025-01-13T09:50:00Z</dcterms:created>
  <dcterms:modified xsi:type="dcterms:W3CDTF">2025-01-14T06:38:00Z</dcterms:modified>
</cp:coreProperties>
</file>